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BC54" w14:textId="14F4D5FA" w:rsidR="00C6362D" w:rsidRDefault="000B00D4">
      <w:pPr>
        <w:pBdr>
          <w:top w:val="nil"/>
          <w:left w:val="nil"/>
          <w:bottom w:val="nil"/>
          <w:right w:val="nil"/>
          <w:between w:val="nil"/>
        </w:pBdr>
        <w:tabs>
          <w:tab w:val="right" w:pos="13958"/>
        </w:tabs>
        <w:spacing w:after="0" w:line="240" w:lineRule="auto"/>
        <w:rPr>
          <w:b/>
          <w:color w:val="2F5496"/>
        </w:rPr>
      </w:pPr>
      <w:proofErr w:type="spellStart"/>
      <w:r>
        <w:rPr>
          <w:b/>
          <w:color w:val="2F5496"/>
        </w:rPr>
        <w:t>Expectation</w:t>
      </w:r>
      <w:r w:rsidR="00FF1211">
        <w:rPr>
          <w:rFonts w:hint="eastAsia"/>
          <w:b/>
          <w:color w:val="2F5496"/>
        </w:rPr>
        <w:t>J</w:t>
      </w:r>
      <w:r w:rsidR="00FF1211">
        <w:rPr>
          <w:b/>
          <w:color w:val="2F5496"/>
        </w:rPr>
        <w:t>i</w:t>
      </w:r>
      <w:r w:rsidR="00FF1211">
        <w:rPr>
          <w:rFonts w:hint="eastAsia"/>
          <w:b/>
          <w:color w:val="2F5496"/>
        </w:rPr>
        <w:t>acheng</w:t>
      </w:r>
      <w:proofErr w:type="spellEnd"/>
      <w:r w:rsidR="00FF1211">
        <w:rPr>
          <w:rFonts w:hint="eastAsia"/>
          <w:b/>
          <w:color w:val="2F5496"/>
        </w:rPr>
        <w:t xml:space="preserve"> </w:t>
      </w:r>
      <w:r w:rsidR="00FF1211">
        <w:rPr>
          <w:b/>
          <w:color w:val="2F5496"/>
          <w:lang w:val="en-US"/>
        </w:rPr>
        <w:t xml:space="preserve">(Richard) Zou </w:t>
      </w:r>
      <w:r w:rsidR="00FF1211">
        <w:rPr>
          <w:b/>
          <w:color w:val="2F5496"/>
        </w:rPr>
        <w:t xml:space="preserve">Lesson </w:t>
      </w:r>
      <w:r w:rsidR="00DB2299">
        <w:rPr>
          <w:b/>
          <w:color w:val="2F5496"/>
        </w:rPr>
        <w:t>3</w:t>
      </w:r>
      <w:r w:rsidR="00FF1211">
        <w:rPr>
          <w:b/>
          <w:color w:val="2F5496"/>
        </w:rPr>
        <w:t xml:space="preserve"> </w:t>
      </w:r>
      <w:r w:rsidR="00FF1211">
        <w:rPr>
          <w:rFonts w:eastAsia="Calibri"/>
          <w:b/>
          <w:color w:val="2F5496"/>
        </w:rPr>
        <w:t>FEEDBACK</w:t>
      </w:r>
      <w:r w:rsidR="00FF1211">
        <w:rPr>
          <w:rFonts w:eastAsia="Calibri"/>
          <w:b/>
          <w:color w:val="2F5496"/>
        </w:rPr>
        <w:tab/>
      </w:r>
    </w:p>
    <w:p w14:paraId="1141A6A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F5496"/>
        </w:rPr>
      </w:pPr>
    </w:p>
    <w:p w14:paraId="1EA2263D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Deep Knowledge</w:t>
      </w:r>
    </w:p>
    <w:p w14:paraId="4DA1AB08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To what extent is the knowledge being addressed focused on a small number of key concepts and the relationships between and among concepts?</w:t>
      </w:r>
    </w:p>
    <w:tbl>
      <w:tblPr>
        <w:tblStyle w:val="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51411961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2693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Almost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</w:rPr>
              <w:t>all of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</w:rPr>
              <w:t xml:space="preserve"> the content knowledge of the lesson is shallow because it does not deal with significant concepts or ideas.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B8F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Some key concepts and ideas are mentioned or covered by the teacher or students, but only at a superficial level.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5E6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treated unevenly during instruction. A significant idea may be addressed as part of the lesson, but in general the focus on key concepts and ideas is not sustained throughout the lesson.</w:t>
            </w:r>
          </w:p>
          <w:p w14:paraId="360DB05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D22C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Most of the content knowledge of the lesson is deep. Sustained focus</w:t>
            </w:r>
          </w:p>
          <w:p w14:paraId="26B5B049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on central concepts or ideas is occasionally interrupted by superficial or unrelated ideas or concepts.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B33E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deep because focus is sustained on key ideas or concepts throughout the lesson.</w:t>
            </w:r>
          </w:p>
        </w:tc>
      </w:tr>
      <w:tr w:rsidR="00C6362D" w14:paraId="63990B9E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7F7F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862FC2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86F8BC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51381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8E0AC8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E48AF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578517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3DB127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5F06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9BE98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659F2A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9CA6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7E0C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1D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040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5C929399" w14:textId="77777777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5DDD41E2" w14:textId="61FB8A42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The focus of honorifics is sustained throughout the lesson including explicit teaching and activities to practice their use with differentiation strategies that cater for different levels and learning styles.</w:t>
            </w:r>
          </w:p>
          <w:p w14:paraId="3B4F130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15F88B7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90C7F90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>High Expectation</w:t>
      </w:r>
    </w:p>
    <w:p w14:paraId="7F86A228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To what extent</w:t>
      </w:r>
      <w:r>
        <w:rPr>
          <w:rFonts w:eastAsia="Calibri"/>
          <w:color w:val="000000"/>
        </w:rPr>
        <w:t xml:space="preserve"> does the lesson encourage students to develop a conceptual understanding by requiring them to </w:t>
      </w:r>
      <w:r>
        <w:t>analyse</w:t>
      </w:r>
      <w:r>
        <w:rPr>
          <w:rFonts w:eastAsia="Calibri"/>
          <w:color w:val="000000"/>
        </w:rPr>
        <w:t xml:space="preserve"> core ideas and articulate their connections and interdependencies?</w:t>
      </w:r>
    </w:p>
    <w:tbl>
      <w:tblPr>
        <w:tblStyle w:val="a0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4E332326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4F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focuses on factual transmission or routine procedures. No explicit requirement to analyse ideas or articulate their connections/interdependencies.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00E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Focus is on recall/description of individual ideas. Analysis is rudimentary; there is minimal explicit opportunity to articulate the relationships between them.</w:t>
            </w:r>
          </w:p>
          <w:p w14:paraId="4119F0B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483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Core ideas are presented, and students are occasionally prompted or expected to draw simple connections. Analysis is limited; procedural focus may dominate.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6F38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clearly requires analysis and specific tasks (e.g., concept mapping) to prompt the articulation of connections and relationships between core ideas.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9501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are consistently and explicitly required to analyse core ideas and synthesise complex, integrated conceptual models articulating multi-layered interdependencies.</w:t>
            </w:r>
          </w:p>
        </w:tc>
      </w:tr>
      <w:tr w:rsidR="00C6362D" w14:paraId="375000C3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563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786FC3D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2B9A6E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74435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CEADC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9EDEA3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3EEC9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4062D14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BFC06C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E9D923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DFFBE4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38E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D077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1C27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2759E37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259E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7B6A4AA2" w14:textId="77777777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3E78B1F6" w14:textId="5C9D1C28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Students are required to practice the use of honorifics through various engaging activities with link to prior learning and cultural understanding through the perspective of a samurai.</w:t>
            </w:r>
          </w:p>
        </w:tc>
      </w:tr>
    </w:tbl>
    <w:p w14:paraId="1339FCE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A6F48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FF4F4F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925DF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2CC060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lastRenderedPageBreak/>
        <w:t>Cultural Knowledge</w:t>
      </w:r>
    </w:p>
    <w:p w14:paraId="63DCFA51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 what extent </w:t>
      </w:r>
      <w:r>
        <w:t>d</w:t>
      </w:r>
      <w:r>
        <w:rPr>
          <w:rFonts w:eastAsia="Calibri"/>
          <w:color w:val="000000"/>
        </w:rPr>
        <w:t>oes the lesson connect content to students' diverse backgrounds, knowledge, or community experiences?</w:t>
      </w:r>
    </w:p>
    <w:p w14:paraId="2F7BCE4B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4FB5D2D1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70F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ignores or omits any connection between the content and students' diverse backgrounds, knowledge, or community experiences. </w:t>
            </w:r>
          </w:p>
          <w:p w14:paraId="64381CA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554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to student backgrounds are minimal, incidental, or entirely teacher-driven, often limited to a brief introductory acknowledgement or a single, non-essential example.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F16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makes some efforts to connect content to student experiences or prior knowledge, but these connections may be superficial, infrequent, or generalised (e.g., a single example or a general question).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612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The lesson explicitly and intentionally connects content to multiple diverse student backgrounds and community experiences, using these connections to enrich and expand the core content for all learners.</w:t>
            </w:r>
          </w:p>
          <w:p w14:paraId="0597C3E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61FC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is co-constructed with student knowledge; it requires students to draw upon, </w:t>
            </w:r>
            <w:proofErr w:type="spellStart"/>
            <w:r>
              <w:rPr>
                <w:sz w:val="18"/>
                <w:szCs w:val="18"/>
              </w:rPr>
              <w:t>analyze</w:t>
            </w:r>
            <w:proofErr w:type="spellEnd"/>
            <w:r>
              <w:rPr>
                <w:sz w:val="18"/>
                <w:szCs w:val="18"/>
              </w:rPr>
              <w:t>, and critique diverse cultural backgrounds, prior knowledge and community experiences.</w:t>
            </w:r>
          </w:p>
        </w:tc>
      </w:tr>
      <w:tr w:rsidR="00C6362D" w14:paraId="398C98B4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6B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AED54A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DD5330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1476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0971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044FC5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1906B4A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70FB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5E216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7339F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28DA2A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9551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F8F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4F5B7FC8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F0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08F7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368BA0FF" w14:textId="77777777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72E0EA62" w14:textId="6DC80864" w:rsidR="00E50E5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The lesson requires students to co-construct understanding using prior knowledge of samurai and use of learned language features. The activities also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</w:rPr>
              <w:t>sparks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</w:rPr>
              <w:t xml:space="preserve"> students’ creativity and provides opportunities for them to demonstrate cultural understanding.</w:t>
            </w:r>
          </w:p>
        </w:tc>
      </w:tr>
    </w:tbl>
    <w:p w14:paraId="61CB08D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1EAC3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C2B0B2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Additional Feedback</w:t>
      </w:r>
    </w:p>
    <w:p w14:paraId="7C01854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2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1401"/>
      </w:tblGrid>
      <w:tr w:rsidR="00C6362D" w14:paraId="28D8EBF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4B0E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Aspect</w:t>
            </w: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1B3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Comments</w:t>
            </w:r>
          </w:p>
        </w:tc>
      </w:tr>
      <w:tr w:rsidR="00C6362D" w14:paraId="2DB0D052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1A9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333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Clarity of instructions</w:t>
            </w:r>
          </w:p>
          <w:p w14:paraId="12DE20A5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9709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B9E2" w14:textId="508F8C0C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E50E5D">
              <w:rPr>
                <w:rFonts w:eastAsia="Calibri"/>
                <w:color w:val="000000"/>
              </w:rPr>
              <w:t xml:space="preserve">Instructions are mostly clear. The recording seems to be like explaining the lesson to peers rather than teaching to students. </w:t>
            </w:r>
          </w:p>
        </w:tc>
      </w:tr>
      <w:tr w:rsidR="00C6362D" w14:paraId="622890F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9C9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80D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Quality of feedback during the lesson</w:t>
            </w:r>
          </w:p>
          <w:p w14:paraId="1E8176E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BC375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DFC0" w14:textId="6B7970DE" w:rsidR="00E50E5D" w:rsidRDefault="00E50E5D" w:rsidP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Teacher mentioned the ways you would check understanding and provide feedback, e.g. white board, showcase.</w:t>
            </w:r>
          </w:p>
        </w:tc>
      </w:tr>
      <w:tr w:rsidR="00C6362D" w14:paraId="04929E9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CAE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CB7C20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Teacher presence and interaction</w:t>
            </w:r>
          </w:p>
          <w:p w14:paraId="0F65C0E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A6195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D3A7" w14:textId="109253FD" w:rsidR="00C6362D" w:rsidRDefault="00E5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Teacher speaks clearly and explains the task clearly. Teacher mentioned the ways to interact with </w:t>
            </w:r>
            <w:r w:rsidR="00D64702">
              <w:rPr>
                <w:color w:val="000000"/>
              </w:rPr>
              <w:t>students;</w:t>
            </w:r>
            <w:r>
              <w:rPr>
                <w:color w:val="000000"/>
              </w:rPr>
              <w:t xml:space="preserve"> </w:t>
            </w:r>
            <w:r w:rsidR="00D64702">
              <w:rPr>
                <w:color w:val="000000"/>
              </w:rPr>
              <w:t>however,</w:t>
            </w:r>
            <w:r>
              <w:rPr>
                <w:color w:val="000000"/>
              </w:rPr>
              <w:t xml:space="preserve"> the lesson is taught as if the audience is </w:t>
            </w:r>
            <w:r w:rsidR="00D64702">
              <w:rPr>
                <w:color w:val="000000"/>
              </w:rPr>
              <w:t>peers.</w:t>
            </w:r>
            <w:r>
              <w:rPr>
                <w:color w:val="000000"/>
              </w:rPr>
              <w:t xml:space="preserve"> </w:t>
            </w:r>
            <w:r w:rsidR="00D64702">
              <w:rPr>
                <w:color w:val="000000"/>
              </w:rPr>
              <w:t>The way of teaching also indicates the lesson will be taught live, e.g. showcase, using zoom reaction tabs to react in class, white board etc.</w:t>
            </w:r>
            <w:r w:rsidR="004A6F0B">
              <w:rPr>
                <w:color w:val="000000"/>
              </w:rPr>
              <w:t>, rather than a recording that students can watch and do the activities in their own time.</w:t>
            </w:r>
          </w:p>
        </w:tc>
      </w:tr>
    </w:tbl>
    <w:p w14:paraId="07DAB02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4322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C6362D">
      <w:pgSz w:w="16838" w:h="11906" w:orient="landscape"/>
      <w:pgMar w:top="426" w:right="1440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D"/>
    <w:rsid w:val="000B00D4"/>
    <w:rsid w:val="003E7AEF"/>
    <w:rsid w:val="004618D9"/>
    <w:rsid w:val="004867E6"/>
    <w:rsid w:val="004A6F0B"/>
    <w:rsid w:val="00A27050"/>
    <w:rsid w:val="00A9491D"/>
    <w:rsid w:val="00C11DE5"/>
    <w:rsid w:val="00C6362D"/>
    <w:rsid w:val="00D64702"/>
    <w:rsid w:val="00DB2299"/>
    <w:rsid w:val="00E50E5D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9C04F"/>
  <w15:docId w15:val="{BFD90B95-B4CB-144D-A474-B969080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rFonts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ZLJtBsR6E4DYXlnj6PceYCzxw==">CgMxLjA4AHIhMWJIOTk0WGFmenBqeHN3U1g0M0R1Vmt3eUloYmNpN1dz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Lau</dc:creator>
  <cp:lastModifiedBy>Zou, Jiacheng - zoujy009</cp:lastModifiedBy>
  <cp:revision>14</cp:revision>
  <dcterms:created xsi:type="dcterms:W3CDTF">2025-11-02T12:26:00Z</dcterms:created>
  <dcterms:modified xsi:type="dcterms:W3CDTF">2025-12-09T11:03:00Z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eyJoZGlkIjoiN2UxMGU3MDFjNDY0MTlkNmE0NzJiNjBjOGEwYTRkNzAiLCJ1c2VySWQiOiI0NTM5ODU1ODgifQ==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B3270145328B477DBFBE4D20424C86D7_12</vt:lpwstr>
  </property>
</Properties>
</file>